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56BBA280" w:rsidR="00D309CC" w:rsidRDefault="00D309CC" w:rsidP="00D46431">
      <w:pPr>
        <w:pStyle w:val="CH"/>
      </w:pPr>
      <w:bookmarkStart w:id="0" w:name="historyclause"/>
      <w:r>
        <w:t xml:space="preserve">3GPP </w:t>
      </w:r>
      <w:r w:rsidR="00595C50">
        <w:t>RAN4</w:t>
      </w:r>
      <w:r>
        <w:t xml:space="preserve"> Meeting </w:t>
      </w:r>
      <w:r w:rsidR="00595C50">
        <w:t>#11</w:t>
      </w:r>
      <w:r w:rsidR="00B96379">
        <w:t>5</w:t>
      </w:r>
      <w:r>
        <w:tab/>
      </w:r>
      <w:r w:rsidR="00D46431">
        <w:tab/>
      </w:r>
      <w:r w:rsidR="00B70B62" w:rsidRPr="00B70B62">
        <w:t>R4-2506125</w:t>
      </w:r>
    </w:p>
    <w:p w14:paraId="50DC9730" w14:textId="0810CB2B" w:rsidR="00D309CC" w:rsidRPr="00FD166F" w:rsidRDefault="00B96379" w:rsidP="00D46431">
      <w:pPr>
        <w:pStyle w:val="CH"/>
        <w:tabs>
          <w:tab w:val="clear" w:pos="7920"/>
        </w:tabs>
        <w:rPr>
          <w:b w:val="0"/>
        </w:rPr>
      </w:pPr>
      <w:r>
        <w:t>Malta</w:t>
      </w:r>
      <w:r w:rsidR="00595C50">
        <w:t xml:space="preserve">, </w:t>
      </w:r>
      <w:r>
        <w:t>Malta</w:t>
      </w:r>
      <w:r w:rsidR="00086E33">
        <w:t>,</w:t>
      </w:r>
      <w:r w:rsidR="00595C50">
        <w:t xml:space="preserve"> </w:t>
      </w:r>
      <w:r>
        <w:t>May</w:t>
      </w:r>
      <w:r w:rsidR="00086E33">
        <w:t xml:space="preserve"> 1</w:t>
      </w:r>
      <w:r w:rsidR="006875C3">
        <w:t xml:space="preserve">9th – </w:t>
      </w:r>
      <w:r w:rsidR="00086E33">
        <w:t>2</w:t>
      </w:r>
      <w:r w:rsidR="006875C3">
        <w:t>3rd</w:t>
      </w:r>
      <w:r w:rsidR="00086E33">
        <w:t>, 2025</w:t>
      </w:r>
    </w:p>
    <w:p w14:paraId="39A0EE25" w14:textId="77777777" w:rsidR="00D309CC" w:rsidRDefault="00D309CC" w:rsidP="00D309CC">
      <w:pPr>
        <w:tabs>
          <w:tab w:val="left" w:pos="2160"/>
        </w:tabs>
        <w:rPr>
          <w:rFonts w:ascii="Arial" w:hAnsi="Arial" w:cs="Arial"/>
          <w:b/>
        </w:rPr>
      </w:pPr>
    </w:p>
    <w:p w14:paraId="6DDCE159" w14:textId="3285D5B8" w:rsidR="00D309CC" w:rsidRPr="00595C50" w:rsidRDefault="00D309CC" w:rsidP="00D309CC">
      <w:pPr>
        <w:pStyle w:val="CH"/>
        <w:rPr>
          <w:lang w:val="en-US"/>
        </w:rPr>
      </w:pPr>
      <w:r w:rsidRPr="0008103A">
        <w:t>Agenda item:</w:t>
      </w:r>
      <w:r>
        <w:tab/>
      </w:r>
      <w:r w:rsidR="00020E56">
        <w:rPr>
          <w:lang w:val="en-US"/>
        </w:rPr>
        <w:t>11</w:t>
      </w:r>
    </w:p>
    <w:p w14:paraId="4DBE005A" w14:textId="3BD9E58D" w:rsidR="00D309CC" w:rsidRPr="0008103A" w:rsidRDefault="00D309CC" w:rsidP="00D309CC">
      <w:pPr>
        <w:pStyle w:val="CH"/>
        <w:rPr>
          <w:b w:val="0"/>
        </w:rPr>
      </w:pPr>
      <w:r>
        <w:t>Source:</w:t>
      </w:r>
      <w:r>
        <w:tab/>
        <w:t>Apple</w:t>
      </w:r>
    </w:p>
    <w:p w14:paraId="0D2061A1" w14:textId="6BB06F3E" w:rsidR="00D309CC" w:rsidRPr="00595C50" w:rsidRDefault="00D309CC" w:rsidP="00A16799">
      <w:pPr>
        <w:pStyle w:val="CH"/>
        <w:ind w:left="2260" w:hanging="2260"/>
        <w:rPr>
          <w:lang w:val="en-US"/>
        </w:rPr>
      </w:pPr>
      <w:r w:rsidRPr="0008103A">
        <w:t>Title:</w:t>
      </w:r>
      <w:r w:rsidRPr="0008103A">
        <w:tab/>
      </w:r>
      <w:r w:rsidR="00B96379">
        <w:rPr>
          <w:lang w:val="en-US"/>
        </w:rPr>
        <w:t>Views on</w:t>
      </w:r>
      <w:r w:rsidR="00A16799" w:rsidRPr="00A16799">
        <w:rPr>
          <w:lang w:val="en-US"/>
        </w:rPr>
        <w:t xml:space="preserve"> </w:t>
      </w:r>
      <w:r w:rsidR="00D06985">
        <w:rPr>
          <w:lang w:val="en-US"/>
        </w:rPr>
        <w:t>NTN RF enhancements</w:t>
      </w:r>
      <w:r w:rsidR="00B96379">
        <w:rPr>
          <w:lang w:val="en-US"/>
        </w:rPr>
        <w:t xml:space="preserve"> </w:t>
      </w:r>
      <w:r w:rsidR="00A16799" w:rsidRPr="00A16799">
        <w:rPr>
          <w:lang w:val="en-US"/>
        </w:rPr>
        <w:t>in Rel-20</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4FDCDFF3"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w:t>
      </w:r>
      <w:r w:rsidR="00D06985">
        <w:t>work item was followed by further NTN enhancements in Rel-18 and Rel-19, which introduced not only new NTN bands, but also RF enhancements, such as the 3MHz channel bandwidth and PC2 power class for the handheld devices</w:t>
      </w:r>
      <w:r>
        <w:t>.</w:t>
      </w:r>
    </w:p>
    <w:p w14:paraId="31FF0476" w14:textId="616E0FDA" w:rsidR="00B27FEE" w:rsidRDefault="00FE7BFF" w:rsidP="00F90B9E">
      <w:r>
        <w:t xml:space="preserve">In this discussion paper we present our </w:t>
      </w:r>
      <w:r w:rsidR="00D06985">
        <w:t>initial views on which RF related enhancements can be considered further</w:t>
      </w:r>
      <w:r>
        <w:t xml:space="preserve"> </w:t>
      </w:r>
      <w:r w:rsidR="00D06985">
        <w:t xml:space="preserve">in </w:t>
      </w:r>
      <w:r>
        <w:t>Rel-20 WI</w:t>
      </w:r>
      <w:r w:rsidR="00D06985">
        <w:t xml:space="preserve"> accounting for a limited number of time units available in RAN WG4</w:t>
      </w:r>
      <w:r>
        <w:t xml:space="preserve">. </w:t>
      </w:r>
    </w:p>
    <w:p w14:paraId="3A67921B" w14:textId="28E75FB9" w:rsidR="008E7986" w:rsidRDefault="008E7986" w:rsidP="008E7986">
      <w:pPr>
        <w:pStyle w:val="Heading1"/>
      </w:pPr>
      <w:r>
        <w:t>2</w:t>
      </w:r>
      <w:r>
        <w:tab/>
      </w:r>
      <w:r w:rsidR="0062570F">
        <w:t>Potential NTN RF enhancements</w:t>
      </w:r>
    </w:p>
    <w:p w14:paraId="329E31A5" w14:textId="20C38696" w:rsidR="00020E56" w:rsidRDefault="00020E56" w:rsidP="00020E56">
      <w:pPr>
        <w:pStyle w:val="Heading2"/>
      </w:pPr>
      <w:r>
        <w:t>2.1</w:t>
      </w:r>
      <w:r>
        <w:tab/>
        <w:t>Power domain enhancements</w:t>
      </w:r>
    </w:p>
    <w:p w14:paraId="5251730F" w14:textId="5C9EE306" w:rsidR="00162D51" w:rsidRDefault="00162D51" w:rsidP="00BA1A3E">
      <w:pPr>
        <w:jc w:val="both"/>
      </w:pPr>
      <w:r>
        <w:t xml:space="preserve">During Rel-19 high-power UE for NTN discussions several companies raised a concern that under certain RB allocations a UE may not reach maximum output power, mostly because of the </w:t>
      </w:r>
      <w:r w:rsidR="00EA28C6">
        <w:t xml:space="preserve">existing </w:t>
      </w:r>
      <w:r>
        <w:t xml:space="preserve">MPR margins. In fact, existing </w:t>
      </w:r>
      <w:r w:rsidR="00EA28C6">
        <w:t xml:space="preserve">PC3 </w:t>
      </w:r>
      <w:r>
        <w:t xml:space="preserve">MPR margins get even larger for the PC2 power class, which in some scenarios may diminish most of the power gains offered by the PC2 power class. </w:t>
      </w:r>
      <w:r w:rsidR="00EA28C6">
        <w:t>So, d</w:t>
      </w:r>
      <w:r>
        <w:t xml:space="preserve">uring the Rel-19 discussions it was presented that depending on the modulation and the waveform, the MPR margins are driven by different factors, such as ACLR, IBE and SEM, as can be seen from the Figure 2.1-1 below. </w:t>
      </w:r>
      <w:r w:rsidR="00EA28C6">
        <w:t xml:space="preserve">As can be seen, while for the small allocations MPR is mostly needed because of SEM and IBE, large allocations are mostly limited by ACLR. </w:t>
      </w:r>
      <w:r>
        <w:t>Thus, one of the potential areas for further enhancements is to study further which existing requirement – ACLR, IBE, SEM – can be relaxed to ensure best possible maximum output power</w:t>
      </w:r>
      <w:r w:rsidR="00EA28C6">
        <w:t xml:space="preserve"> for the NTN </w:t>
      </w:r>
      <w:proofErr w:type="spellStart"/>
      <w:r w:rsidR="00EA28C6">
        <w:t>deploymentts</w:t>
      </w:r>
      <w:proofErr w:type="spellEnd"/>
      <w:r>
        <w:t>.</w:t>
      </w:r>
    </w:p>
    <w:p w14:paraId="6A2359A1" w14:textId="77777777" w:rsidR="00A10964" w:rsidRDefault="00162D51" w:rsidP="00A10964">
      <w:pPr>
        <w:jc w:val="center"/>
      </w:pPr>
      <w:r>
        <w:t xml:space="preserve">   </w:t>
      </w:r>
      <w:r w:rsidR="00994743">
        <w:t xml:space="preserve"> </w:t>
      </w:r>
      <w:r w:rsidR="00BA1A3E">
        <w:t xml:space="preserve"> </w:t>
      </w:r>
      <w:r w:rsidR="00A10964">
        <w:rPr>
          <w:noProof/>
        </w:rPr>
        <w:drawing>
          <wp:inline distT="0" distB="0" distL="0" distR="0" wp14:anchorId="2521F35F" wp14:editId="22823950">
            <wp:extent cx="2419200" cy="2124000"/>
            <wp:effectExtent l="0" t="0" r="0" b="0"/>
            <wp:docPr id="1299157627" name="Picture 1" descr="A diagram of a number of different colored tri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157627" name="Picture 1" descr="A diagram of a number of different colored triangl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419200" cy="2124000"/>
                    </a:xfrm>
                    <a:prstGeom prst="rect">
                      <a:avLst/>
                    </a:prstGeom>
                  </pic:spPr>
                </pic:pic>
              </a:graphicData>
            </a:graphic>
          </wp:inline>
        </w:drawing>
      </w:r>
      <w:r w:rsidR="00A10964">
        <w:t xml:space="preserve">    </w:t>
      </w:r>
      <w:r w:rsidR="00A10964">
        <w:rPr>
          <w:noProof/>
        </w:rPr>
        <w:drawing>
          <wp:inline distT="0" distB="0" distL="0" distR="0" wp14:anchorId="78DD7592" wp14:editId="62F45521">
            <wp:extent cx="2480400" cy="2073600"/>
            <wp:effectExtent l="0" t="0" r="0" b="0"/>
            <wp:docPr id="1211732757" name="Picture 2" descr="A graph with green and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732757" name="Picture 2" descr="A graph with green and yellow lines&#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2480400" cy="2073600"/>
                    </a:xfrm>
                    <a:prstGeom prst="rect">
                      <a:avLst/>
                    </a:prstGeom>
                  </pic:spPr>
                </pic:pic>
              </a:graphicData>
            </a:graphic>
          </wp:inline>
        </w:drawing>
      </w:r>
    </w:p>
    <w:p w14:paraId="69326175" w14:textId="4F4A5AE4" w:rsidR="00A10964" w:rsidRDefault="00A10964" w:rsidP="00A10964">
      <w:pPr>
        <w:pStyle w:val="TF"/>
      </w:pPr>
      <w:r>
        <w:t xml:space="preserve">Figure 2.1-1: </w:t>
      </w:r>
      <w:r w:rsidRPr="00061B02">
        <w:t xml:space="preserve">Illustration of limiting factors </w:t>
      </w:r>
      <w:r>
        <w:t>for PC2 CP-OFDM (left) and DFT-s-OFDM (right).</w:t>
      </w:r>
    </w:p>
    <w:p w14:paraId="12B09122" w14:textId="4CD1BBE4" w:rsidR="00BA1A3E" w:rsidRDefault="00BA1A3E" w:rsidP="00BA1A3E">
      <w:pPr>
        <w:jc w:val="both"/>
      </w:pPr>
    </w:p>
    <w:p w14:paraId="1ABC86FE" w14:textId="325C5414" w:rsidR="00BA1A3E" w:rsidRDefault="00BA1A3E" w:rsidP="00BA1A3E">
      <w:pPr>
        <w:pStyle w:val="Proposal"/>
      </w:pPr>
      <w:r>
        <w:t>Proposal 1:</w:t>
      </w:r>
      <w:r>
        <w:tab/>
        <w:t>NTN power domain enhancements can be considered in the corresponding NTN enhancement WI.</w:t>
      </w:r>
    </w:p>
    <w:p w14:paraId="319C4684" w14:textId="77777777" w:rsidR="00BA1A3E" w:rsidRDefault="00BA1A3E" w:rsidP="009275BD">
      <w:pPr>
        <w:jc w:val="both"/>
      </w:pPr>
    </w:p>
    <w:p w14:paraId="60DCD4B6" w14:textId="7085DF21" w:rsidR="00020E56" w:rsidRDefault="00020E56" w:rsidP="00020E56">
      <w:pPr>
        <w:pStyle w:val="Heading2"/>
      </w:pPr>
      <w:r>
        <w:t>2.2</w:t>
      </w:r>
      <w:r>
        <w:tab/>
        <w:t>Baskets on PC2 and channel bandwidths</w:t>
      </w:r>
    </w:p>
    <w:p w14:paraId="1F3D0193" w14:textId="02CBA1DF" w:rsidR="009275BD" w:rsidRDefault="005A659F" w:rsidP="009275BD">
      <w:pPr>
        <w:jc w:val="both"/>
      </w:pPr>
      <w:r>
        <w:t xml:space="preserve">The PC2 power class is going to be introduced for NTN in Rel-19, which will cover existing NTN bands. However, there will be new NTN bands, such as n250, n251, n252 and n253, RF requirements of which will not include PC2. Thus, there should be some follow up work to enable PC2 also for new NTN bands introduced in Rel-19. </w:t>
      </w:r>
    </w:p>
    <w:p w14:paraId="2F0A3AC1" w14:textId="5F8D0CA2" w:rsidR="0062570F" w:rsidRDefault="0062570F" w:rsidP="0062570F">
      <w:pPr>
        <w:pStyle w:val="Proposal"/>
      </w:pPr>
      <w:r>
        <w:t xml:space="preserve">Proposal </w:t>
      </w:r>
      <w:r w:rsidR="00BA1A3E">
        <w:t>2</w:t>
      </w:r>
      <w:r w:rsidR="00020E56">
        <w:t>a</w:t>
      </w:r>
      <w:r>
        <w:t>:</w:t>
      </w:r>
      <w:r>
        <w:tab/>
      </w:r>
      <w:r w:rsidR="00EC7D03">
        <w:t>M</w:t>
      </w:r>
      <w:r>
        <w:t xml:space="preserve">issing PC2 </w:t>
      </w:r>
      <w:r w:rsidR="00862426">
        <w:t xml:space="preserve">RF </w:t>
      </w:r>
      <w:r>
        <w:t>requirements can be completed in the corresponding basket WI.</w:t>
      </w:r>
    </w:p>
    <w:p w14:paraId="4DD802A0" w14:textId="77777777" w:rsidR="0062570F" w:rsidRDefault="0062570F" w:rsidP="007961F1">
      <w:pPr>
        <w:jc w:val="both"/>
      </w:pPr>
    </w:p>
    <w:p w14:paraId="25A4ECC1" w14:textId="613342C3" w:rsidR="009275BD" w:rsidRDefault="005A659F" w:rsidP="007961F1">
      <w:pPr>
        <w:jc w:val="both"/>
      </w:pPr>
      <w:r>
        <w:t xml:space="preserve">Following the same line of the considerations above, Rel-19 NTN enhancements will enable a new 3MHz channel bandwidth, which unfortunately will not be available for those new NTN bands that are also added in Rel-19. In addition to that, the 3GPP core specifications do not have completed RF requirements for the 30MHz channel. Thus, there can be a follow up work to add missing RF requirements for new channel bandwidths. </w:t>
      </w:r>
      <w:r w:rsidR="0062570F">
        <w:t xml:space="preserve">  </w:t>
      </w:r>
      <w:r w:rsidR="009275BD">
        <w:t xml:space="preserve"> </w:t>
      </w:r>
    </w:p>
    <w:p w14:paraId="7E533971" w14:textId="1AA74E4E" w:rsidR="0062570F" w:rsidRDefault="0062570F" w:rsidP="0062570F">
      <w:pPr>
        <w:pStyle w:val="Proposal"/>
      </w:pPr>
      <w:bookmarkStart w:id="1" w:name="_Toc181871877"/>
      <w:bookmarkStart w:id="2" w:name="_Toc181873632"/>
      <w:bookmarkStart w:id="3" w:name="_Toc181873692"/>
      <w:bookmarkStart w:id="4" w:name="_Toc181955625"/>
      <w:bookmarkStart w:id="5" w:name="_Toc189727128"/>
      <w:r>
        <w:t xml:space="preserve">Proposal </w:t>
      </w:r>
      <w:r w:rsidR="00020E56">
        <w:t>2b</w:t>
      </w:r>
      <w:r>
        <w:t>:</w:t>
      </w:r>
      <w:r>
        <w:tab/>
      </w:r>
      <w:bookmarkEnd w:id="1"/>
      <w:bookmarkEnd w:id="2"/>
      <w:bookmarkEnd w:id="3"/>
      <w:bookmarkEnd w:id="4"/>
      <w:bookmarkEnd w:id="5"/>
      <w:r w:rsidR="00EC7D03">
        <w:t>M</w:t>
      </w:r>
      <w:r>
        <w:t xml:space="preserve">issing </w:t>
      </w:r>
      <w:r w:rsidR="00020E56">
        <w:t xml:space="preserve">3MHz and </w:t>
      </w:r>
      <w:r>
        <w:t>30MHz RF requirements can be completed in the corresponding basket WI.</w:t>
      </w:r>
    </w:p>
    <w:p w14:paraId="25E4B738" w14:textId="77777777" w:rsidR="00E30B2E" w:rsidRDefault="00E30B2E" w:rsidP="009275BD"/>
    <w:p w14:paraId="652DBD24" w14:textId="12420677" w:rsidR="00020E56" w:rsidRDefault="008F48B2" w:rsidP="009275BD">
      <w:r>
        <w:t>It is also worth noting</w:t>
      </w:r>
      <w:r w:rsidR="00020E56">
        <w:t xml:space="preserve"> </w:t>
      </w:r>
      <w:r w:rsidR="00E30B2E">
        <w:t>that since</w:t>
      </w:r>
      <w:r w:rsidR="00020E56">
        <w:t xml:space="preserve"> introduction of the 3MHz and 30MHz channels will be using PC3 as a baseline, whereupon PC2 will also have to be defined for the corresponding bands and channel sizes, it makes sense to consider these baskets as one single </w:t>
      </w:r>
      <w:r w:rsidR="00E30B2E">
        <w:t>"package" to ensure consistent introduction of these features</w:t>
      </w:r>
      <w:r w:rsidR="00020E56">
        <w:t>.</w:t>
      </w:r>
    </w:p>
    <w:p w14:paraId="1FBC3E70" w14:textId="3804F735" w:rsidR="0062570F" w:rsidRDefault="00020E56" w:rsidP="00020E56">
      <w:pPr>
        <w:pStyle w:val="Proposal"/>
      </w:pPr>
      <w:r>
        <w:t>Proposal 2c:</w:t>
      </w:r>
      <w:r>
        <w:tab/>
      </w:r>
      <w:r w:rsidR="00EC7D03">
        <w:t>M</w:t>
      </w:r>
      <w:r>
        <w:t xml:space="preserve">issing PC2 RF requirements and new channel bandwidths RF requirements can be handled in the same basket WI.  </w:t>
      </w:r>
    </w:p>
    <w:p w14:paraId="5D2DDC34" w14:textId="2B052426" w:rsidR="005E69AE" w:rsidRDefault="0027349B" w:rsidP="005E69AE">
      <w:pPr>
        <w:pStyle w:val="Heading1"/>
      </w:pPr>
      <w:r>
        <w:t>3</w:t>
      </w:r>
      <w:r w:rsidR="005E69AE">
        <w:tab/>
        <w:t>References</w:t>
      </w:r>
    </w:p>
    <w:p w14:paraId="2993AC0A" w14:textId="77777777" w:rsidR="00F90B9E" w:rsidRPr="004D3578" w:rsidRDefault="00F90B9E" w:rsidP="00F90B9E">
      <w:pPr>
        <w:pStyle w:val="EX"/>
      </w:pPr>
      <w:bookmarkStart w:id="6" w:name="_Ref13820109"/>
      <w:bookmarkStart w:id="7" w:name="_Ref181870462"/>
      <w:r w:rsidRPr="00804854">
        <w:t>RP-193234</w:t>
      </w:r>
      <w:r>
        <w:t>, "</w:t>
      </w:r>
      <w:r w:rsidRPr="00804854">
        <w:t>Solutions for NR to support non-terrestrial networks (NTN)</w:t>
      </w:r>
      <w:r>
        <w:t>", Thales</w:t>
      </w:r>
      <w:bookmarkEnd w:id="6"/>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7F02F958" w14:textId="461BE2F3" w:rsidR="00B27FEE" w:rsidRDefault="00B27FEE" w:rsidP="00F90B9E">
      <w:pPr>
        <w:pStyle w:val="EX"/>
        <w:numPr>
          <w:ilvl w:val="0"/>
          <w:numId w:val="0"/>
        </w:numPr>
        <w:ind w:left="369"/>
      </w:pPr>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3478C" w14:textId="77777777" w:rsidR="006A1A7E" w:rsidRDefault="006A1A7E">
      <w:r>
        <w:separator/>
      </w:r>
    </w:p>
  </w:endnote>
  <w:endnote w:type="continuationSeparator" w:id="0">
    <w:p w14:paraId="636A6286" w14:textId="77777777" w:rsidR="006A1A7E" w:rsidRDefault="006A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3FB8" w14:textId="77777777" w:rsidR="006A1A7E" w:rsidRDefault="006A1A7E">
      <w:r>
        <w:separator/>
      </w:r>
    </w:p>
  </w:footnote>
  <w:footnote w:type="continuationSeparator" w:id="0">
    <w:p w14:paraId="54898C5C" w14:textId="77777777" w:rsidR="006A1A7E" w:rsidRDefault="006A1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20E56"/>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2D51"/>
    <w:rsid w:val="0016744E"/>
    <w:rsid w:val="001A4C42"/>
    <w:rsid w:val="001C21C3"/>
    <w:rsid w:val="001D02C2"/>
    <w:rsid w:val="001D3A29"/>
    <w:rsid w:val="001E1FFA"/>
    <w:rsid w:val="001E2BCF"/>
    <w:rsid w:val="001F0C1D"/>
    <w:rsid w:val="001F1132"/>
    <w:rsid w:val="001F168B"/>
    <w:rsid w:val="001F3CDB"/>
    <w:rsid w:val="001F718D"/>
    <w:rsid w:val="002121CB"/>
    <w:rsid w:val="002347A2"/>
    <w:rsid w:val="00234FFD"/>
    <w:rsid w:val="00245BAB"/>
    <w:rsid w:val="00247926"/>
    <w:rsid w:val="002675F0"/>
    <w:rsid w:val="0027349B"/>
    <w:rsid w:val="00276EE4"/>
    <w:rsid w:val="002A1EDC"/>
    <w:rsid w:val="002B6339"/>
    <w:rsid w:val="002E00EE"/>
    <w:rsid w:val="002E350A"/>
    <w:rsid w:val="002F0C22"/>
    <w:rsid w:val="003172DC"/>
    <w:rsid w:val="00317AC7"/>
    <w:rsid w:val="0034052F"/>
    <w:rsid w:val="0035462D"/>
    <w:rsid w:val="003765B8"/>
    <w:rsid w:val="0037688C"/>
    <w:rsid w:val="003A0483"/>
    <w:rsid w:val="003A0A0B"/>
    <w:rsid w:val="003C3971"/>
    <w:rsid w:val="003E0198"/>
    <w:rsid w:val="003E0E54"/>
    <w:rsid w:val="003E7753"/>
    <w:rsid w:val="004205CB"/>
    <w:rsid w:val="00423334"/>
    <w:rsid w:val="004345EC"/>
    <w:rsid w:val="00435290"/>
    <w:rsid w:val="004826A9"/>
    <w:rsid w:val="00491484"/>
    <w:rsid w:val="004C1601"/>
    <w:rsid w:val="004C7552"/>
    <w:rsid w:val="004D3578"/>
    <w:rsid w:val="004E213A"/>
    <w:rsid w:val="004E27ED"/>
    <w:rsid w:val="004E4D44"/>
    <w:rsid w:val="004F0988"/>
    <w:rsid w:val="004F3340"/>
    <w:rsid w:val="004F3E3D"/>
    <w:rsid w:val="0053388B"/>
    <w:rsid w:val="00535773"/>
    <w:rsid w:val="00543E6C"/>
    <w:rsid w:val="0055413F"/>
    <w:rsid w:val="0055585A"/>
    <w:rsid w:val="00565087"/>
    <w:rsid w:val="00572E14"/>
    <w:rsid w:val="00595C50"/>
    <w:rsid w:val="005973BE"/>
    <w:rsid w:val="005A5986"/>
    <w:rsid w:val="005A659F"/>
    <w:rsid w:val="005C5ADE"/>
    <w:rsid w:val="005D2E01"/>
    <w:rsid w:val="005D6137"/>
    <w:rsid w:val="005D6DDA"/>
    <w:rsid w:val="005D7526"/>
    <w:rsid w:val="005E69AE"/>
    <w:rsid w:val="00602AEA"/>
    <w:rsid w:val="006047D6"/>
    <w:rsid w:val="00607E3C"/>
    <w:rsid w:val="00614FDF"/>
    <w:rsid w:val="006246A7"/>
    <w:rsid w:val="0062570F"/>
    <w:rsid w:val="0062595A"/>
    <w:rsid w:val="0063543D"/>
    <w:rsid w:val="00647114"/>
    <w:rsid w:val="00653558"/>
    <w:rsid w:val="006875C3"/>
    <w:rsid w:val="0069301D"/>
    <w:rsid w:val="006A1A7E"/>
    <w:rsid w:val="006A323F"/>
    <w:rsid w:val="006A3823"/>
    <w:rsid w:val="006B30D0"/>
    <w:rsid w:val="006B59E0"/>
    <w:rsid w:val="006C029E"/>
    <w:rsid w:val="006C3D95"/>
    <w:rsid w:val="006E3738"/>
    <w:rsid w:val="006E5C86"/>
    <w:rsid w:val="00713C44"/>
    <w:rsid w:val="00730EAC"/>
    <w:rsid w:val="00734A5B"/>
    <w:rsid w:val="0074026F"/>
    <w:rsid w:val="007429F6"/>
    <w:rsid w:val="00744E76"/>
    <w:rsid w:val="00752198"/>
    <w:rsid w:val="00753881"/>
    <w:rsid w:val="00774DA4"/>
    <w:rsid w:val="00776CF3"/>
    <w:rsid w:val="00781F0F"/>
    <w:rsid w:val="007961F1"/>
    <w:rsid w:val="00797046"/>
    <w:rsid w:val="0079755B"/>
    <w:rsid w:val="00797FEC"/>
    <w:rsid w:val="007B3EBD"/>
    <w:rsid w:val="007B600E"/>
    <w:rsid w:val="007E7306"/>
    <w:rsid w:val="007F0F4A"/>
    <w:rsid w:val="007F71BD"/>
    <w:rsid w:val="008028A4"/>
    <w:rsid w:val="008029FB"/>
    <w:rsid w:val="00817778"/>
    <w:rsid w:val="00820B25"/>
    <w:rsid w:val="00830747"/>
    <w:rsid w:val="00853A5C"/>
    <w:rsid w:val="00862426"/>
    <w:rsid w:val="008768CA"/>
    <w:rsid w:val="008802E3"/>
    <w:rsid w:val="008868B8"/>
    <w:rsid w:val="008B7B02"/>
    <w:rsid w:val="008C384C"/>
    <w:rsid w:val="008C6257"/>
    <w:rsid w:val="008E0A99"/>
    <w:rsid w:val="008E7986"/>
    <w:rsid w:val="008F48B2"/>
    <w:rsid w:val="0090271F"/>
    <w:rsid w:val="00902E23"/>
    <w:rsid w:val="009055A6"/>
    <w:rsid w:val="009114D7"/>
    <w:rsid w:val="0091348E"/>
    <w:rsid w:val="00917CCB"/>
    <w:rsid w:val="009275BD"/>
    <w:rsid w:val="00942EC2"/>
    <w:rsid w:val="00957D75"/>
    <w:rsid w:val="009746C7"/>
    <w:rsid w:val="00994743"/>
    <w:rsid w:val="009C59A7"/>
    <w:rsid w:val="009D725E"/>
    <w:rsid w:val="009F37B7"/>
    <w:rsid w:val="009F5E43"/>
    <w:rsid w:val="00A10964"/>
    <w:rsid w:val="00A10F02"/>
    <w:rsid w:val="00A164B4"/>
    <w:rsid w:val="00A16799"/>
    <w:rsid w:val="00A24DAA"/>
    <w:rsid w:val="00A26956"/>
    <w:rsid w:val="00A53724"/>
    <w:rsid w:val="00A73129"/>
    <w:rsid w:val="00A82346"/>
    <w:rsid w:val="00A8729C"/>
    <w:rsid w:val="00A92BA1"/>
    <w:rsid w:val="00AC6BC6"/>
    <w:rsid w:val="00AE3797"/>
    <w:rsid w:val="00B15449"/>
    <w:rsid w:val="00B27FEE"/>
    <w:rsid w:val="00B44626"/>
    <w:rsid w:val="00B70B62"/>
    <w:rsid w:val="00B808FA"/>
    <w:rsid w:val="00B845A4"/>
    <w:rsid w:val="00B93086"/>
    <w:rsid w:val="00B96379"/>
    <w:rsid w:val="00BA19ED"/>
    <w:rsid w:val="00BA1A3E"/>
    <w:rsid w:val="00BA300B"/>
    <w:rsid w:val="00BA4B8D"/>
    <w:rsid w:val="00BC0F7D"/>
    <w:rsid w:val="00BD7A68"/>
    <w:rsid w:val="00BE3255"/>
    <w:rsid w:val="00BF128E"/>
    <w:rsid w:val="00C06268"/>
    <w:rsid w:val="00C102F5"/>
    <w:rsid w:val="00C1496A"/>
    <w:rsid w:val="00C33079"/>
    <w:rsid w:val="00C45231"/>
    <w:rsid w:val="00C72833"/>
    <w:rsid w:val="00C80F1D"/>
    <w:rsid w:val="00C93F40"/>
    <w:rsid w:val="00CA3D0C"/>
    <w:rsid w:val="00CD555A"/>
    <w:rsid w:val="00CD71E9"/>
    <w:rsid w:val="00CF20E3"/>
    <w:rsid w:val="00D06985"/>
    <w:rsid w:val="00D13723"/>
    <w:rsid w:val="00D309CC"/>
    <w:rsid w:val="00D46431"/>
    <w:rsid w:val="00D56A52"/>
    <w:rsid w:val="00D57972"/>
    <w:rsid w:val="00D6031D"/>
    <w:rsid w:val="00D64C63"/>
    <w:rsid w:val="00D675A9"/>
    <w:rsid w:val="00D717BD"/>
    <w:rsid w:val="00D738D6"/>
    <w:rsid w:val="00D755EB"/>
    <w:rsid w:val="00D87E00"/>
    <w:rsid w:val="00D9134D"/>
    <w:rsid w:val="00DA7A03"/>
    <w:rsid w:val="00DB1818"/>
    <w:rsid w:val="00DC309B"/>
    <w:rsid w:val="00DC4DA2"/>
    <w:rsid w:val="00DD34B3"/>
    <w:rsid w:val="00DD4C17"/>
    <w:rsid w:val="00DF1920"/>
    <w:rsid w:val="00DF2B1F"/>
    <w:rsid w:val="00DF6189"/>
    <w:rsid w:val="00DF62CD"/>
    <w:rsid w:val="00E16509"/>
    <w:rsid w:val="00E30B2E"/>
    <w:rsid w:val="00E44582"/>
    <w:rsid w:val="00E52814"/>
    <w:rsid w:val="00E60495"/>
    <w:rsid w:val="00E72324"/>
    <w:rsid w:val="00E72511"/>
    <w:rsid w:val="00E72ABE"/>
    <w:rsid w:val="00E77645"/>
    <w:rsid w:val="00E91317"/>
    <w:rsid w:val="00EA1DF9"/>
    <w:rsid w:val="00EA28C6"/>
    <w:rsid w:val="00EC4A25"/>
    <w:rsid w:val="00EC7D03"/>
    <w:rsid w:val="00EE5AA7"/>
    <w:rsid w:val="00F025A2"/>
    <w:rsid w:val="00F04712"/>
    <w:rsid w:val="00F21311"/>
    <w:rsid w:val="00F22EC7"/>
    <w:rsid w:val="00F325C8"/>
    <w:rsid w:val="00F477C6"/>
    <w:rsid w:val="00F56D37"/>
    <w:rsid w:val="00F62AEB"/>
    <w:rsid w:val="00F653B8"/>
    <w:rsid w:val="00F70647"/>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24</cp:revision>
  <cp:lastPrinted>2019-02-25T15:05:00Z</cp:lastPrinted>
  <dcterms:created xsi:type="dcterms:W3CDTF">2025-05-06T06:59:00Z</dcterms:created>
  <dcterms:modified xsi:type="dcterms:W3CDTF">2025-05-09T11:16:00Z</dcterms:modified>
  <cp:category/>
</cp:coreProperties>
</file>